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11" w:rsidRPr="002B1290" w:rsidRDefault="00231B82">
      <w:pPr>
        <w:rPr>
          <w:rFonts w:ascii="Times New Roman" w:hAnsi="Times New Roman" w:cs="Times New Roman"/>
          <w:b/>
          <w:sz w:val="28"/>
          <w:szCs w:val="28"/>
        </w:rPr>
      </w:pPr>
      <w:r w:rsidRPr="002B1290">
        <w:rPr>
          <w:rFonts w:ascii="Times New Roman" w:hAnsi="Times New Roman" w:cs="Times New Roman"/>
          <w:b/>
          <w:sz w:val="28"/>
          <w:szCs w:val="28"/>
        </w:rPr>
        <w:t>Supportive learning environment</w:t>
      </w:r>
      <w:r w:rsidR="006B043E" w:rsidRPr="002B1290">
        <w:rPr>
          <w:rFonts w:ascii="Times New Roman" w:hAnsi="Times New Roman" w:cs="Times New Roman"/>
          <w:b/>
          <w:sz w:val="28"/>
          <w:szCs w:val="28"/>
        </w:rPr>
        <w:t>: Catering for diversity</w:t>
      </w:r>
    </w:p>
    <w:p w:rsidR="00E34654" w:rsidRPr="005A4CA9" w:rsidRDefault="007C449B" w:rsidP="005A4CA9">
      <w:pPr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9B">
        <w:rPr>
          <w:rFonts w:ascii="Times New Roman" w:hAnsi="Times New Roman" w:cs="Times New Roman"/>
          <w:sz w:val="24"/>
          <w:szCs w:val="24"/>
        </w:rPr>
        <w:t xml:space="preserve">The Australian Professional Standards for Teachers </w:t>
      </w:r>
      <w:r w:rsidRPr="005A4CA9">
        <w:rPr>
          <w:rFonts w:ascii="Times New Roman" w:hAnsi="Times New Roman" w:cs="Times New Roman"/>
          <w:sz w:val="24"/>
          <w:szCs w:val="24"/>
        </w:rPr>
        <w:t xml:space="preserve">identifies seven </w:t>
      </w:r>
      <w:hyperlink r:id="rId6" w:history="1"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Sta</w:t>
        </w:r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dards</w:t>
        </w:r>
      </w:hyperlink>
      <w:r w:rsidRPr="005A4CA9">
        <w:rPr>
          <w:rFonts w:ascii="Times New Roman" w:hAnsi="Times New Roman" w:cs="Times New Roman"/>
          <w:sz w:val="24"/>
          <w:szCs w:val="24"/>
        </w:rPr>
        <w:t> that</w:t>
      </w:r>
      <w:r w:rsidRPr="007C449B">
        <w:rPr>
          <w:rFonts w:ascii="Times New Roman" w:hAnsi="Times New Roman" w:cs="Times New Roman"/>
          <w:sz w:val="24"/>
          <w:szCs w:val="24"/>
        </w:rPr>
        <w:t xml:space="preserve"> </w:t>
      </w:r>
      <w:r w:rsidRPr="005A4CA9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7C449B">
        <w:rPr>
          <w:rFonts w:ascii="Times New Roman" w:hAnsi="Times New Roman" w:cs="Times New Roman"/>
          <w:sz w:val="24"/>
          <w:szCs w:val="24"/>
        </w:rPr>
        <w:t xml:space="preserve">what </w:t>
      </w:r>
      <w:r w:rsidRPr="005A4CA9">
        <w:rPr>
          <w:rFonts w:ascii="Times New Roman" w:hAnsi="Times New Roman" w:cs="Times New Roman"/>
          <w:sz w:val="24"/>
          <w:szCs w:val="24"/>
        </w:rPr>
        <w:t>‘</w:t>
      </w:r>
      <w:r w:rsidRPr="007C449B">
        <w:rPr>
          <w:rFonts w:ascii="Times New Roman" w:hAnsi="Times New Roman" w:cs="Times New Roman"/>
          <w:sz w:val="24"/>
          <w:szCs w:val="24"/>
        </w:rPr>
        <w:t>teachers should know and be able to do. The Standards are interconnected,</w:t>
      </w:r>
      <w:r w:rsidRPr="005A4CA9">
        <w:rPr>
          <w:rFonts w:ascii="Times New Roman" w:hAnsi="Times New Roman" w:cs="Times New Roman"/>
          <w:sz w:val="24"/>
          <w:szCs w:val="24"/>
        </w:rPr>
        <w:t xml:space="preserve"> interdependent and overlapping’ (AITSL, 2014). The required skills for </w:t>
      </w:r>
      <w:r w:rsidR="00E34654" w:rsidRPr="005A4CA9">
        <w:rPr>
          <w:rFonts w:ascii="Times New Roman" w:hAnsi="Times New Roman" w:cs="Times New Roman"/>
          <w:sz w:val="24"/>
          <w:szCs w:val="24"/>
        </w:rPr>
        <w:t xml:space="preserve">effective, quality teaching practices are described as focus areas within each of the standards. The Standards are broadly </w:t>
      </w:r>
      <w:proofErr w:type="spellStart"/>
      <w:r w:rsidR="00E34654" w:rsidRPr="005A4CA9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E34654" w:rsidRPr="005A4CA9">
        <w:rPr>
          <w:rFonts w:ascii="Times New Roman" w:hAnsi="Times New Roman" w:cs="Times New Roman"/>
          <w:sz w:val="24"/>
          <w:szCs w:val="24"/>
        </w:rPr>
        <w:t xml:space="preserve"> within three domains of teachin</w:t>
      </w:r>
      <w:r w:rsidR="00E34654" w:rsidRPr="00056CD9">
        <w:rPr>
          <w:rFonts w:ascii="Times New Roman" w:hAnsi="Times New Roman" w:cs="Times New Roman"/>
          <w:sz w:val="24"/>
          <w:szCs w:val="24"/>
        </w:rPr>
        <w:t>g</w:t>
      </w:r>
      <w:r w:rsidRPr="00056CD9">
        <w:rPr>
          <w:rFonts w:ascii="Times New Roman" w:hAnsi="Times New Roman" w:cs="Times New Roman"/>
          <w:sz w:val="24"/>
          <w:szCs w:val="24"/>
        </w:rPr>
        <w:t>: </w:t>
      </w:r>
      <w:hyperlink r:id="rId7" w:history="1"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Profession</w:t>
        </w:r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l K</w:t>
        </w:r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owledge</w:t>
        </w:r>
      </w:hyperlink>
      <w:r w:rsidRPr="00056CD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Profe</w:t>
        </w:r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sional Practice </w:t>
        </w:r>
      </w:hyperlink>
      <w:r w:rsidRPr="005A4CA9">
        <w:rPr>
          <w:rFonts w:ascii="Times New Roman" w:hAnsi="Times New Roman" w:cs="Times New Roman"/>
          <w:sz w:val="24"/>
          <w:szCs w:val="24"/>
        </w:rPr>
        <w:t>and </w:t>
      </w:r>
      <w:hyperlink r:id="rId9" w:history="1"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Professional En</w:t>
        </w:r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Pr="00056CD9">
          <w:rPr>
            <w:rStyle w:val="Hyperlink"/>
            <w:rFonts w:ascii="Times New Roman" w:hAnsi="Times New Roman" w:cs="Times New Roman"/>
            <w:sz w:val="24"/>
            <w:szCs w:val="24"/>
          </w:rPr>
          <w:t>agement</w:t>
        </w:r>
      </w:hyperlink>
      <w:r w:rsidRPr="00056CD9">
        <w:rPr>
          <w:rFonts w:ascii="Times New Roman" w:hAnsi="Times New Roman" w:cs="Times New Roman"/>
          <w:sz w:val="24"/>
          <w:szCs w:val="24"/>
        </w:rPr>
        <w:t>.</w:t>
      </w:r>
      <w:r w:rsidRPr="005A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61" w:rsidRPr="005A4CA9" w:rsidRDefault="00E34654" w:rsidP="005A4CA9">
      <w:pPr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A9">
        <w:rPr>
          <w:rFonts w:ascii="Times New Roman" w:hAnsi="Times New Roman" w:cs="Times New Roman"/>
          <w:sz w:val="24"/>
          <w:szCs w:val="24"/>
        </w:rPr>
        <w:t xml:space="preserve">While it is clear that this unit of work would draw on teaching skills </w:t>
      </w:r>
      <w:r w:rsidR="00D20761" w:rsidRPr="005A4CA9">
        <w:rPr>
          <w:rFonts w:ascii="Times New Roman" w:hAnsi="Times New Roman" w:cs="Times New Roman"/>
          <w:sz w:val="24"/>
          <w:szCs w:val="24"/>
        </w:rPr>
        <w:t xml:space="preserve">across </w:t>
      </w:r>
      <w:r w:rsidRPr="005A4CA9">
        <w:rPr>
          <w:rFonts w:ascii="Times New Roman" w:hAnsi="Times New Roman" w:cs="Times New Roman"/>
          <w:sz w:val="24"/>
          <w:szCs w:val="24"/>
        </w:rPr>
        <w:t>all of the Standards, the particular focus of this supporting document is aligned to those required to create and maintain supportive and safe learning environments (Standard 4)</w:t>
      </w:r>
      <w:r w:rsidR="00D20761" w:rsidRPr="005A4CA9">
        <w:rPr>
          <w:rFonts w:ascii="Times New Roman" w:hAnsi="Times New Roman" w:cs="Times New Roman"/>
          <w:sz w:val="24"/>
          <w:szCs w:val="24"/>
        </w:rPr>
        <w:t xml:space="preserve"> within the domain of Professional Practice. </w:t>
      </w:r>
    </w:p>
    <w:p w:rsidR="00343394" w:rsidRDefault="00343394">
      <w:r>
        <w:rPr>
          <w:noProof/>
          <w:lang w:eastAsia="en-AU"/>
        </w:rPr>
        <w:drawing>
          <wp:inline distT="0" distB="0" distL="0" distR="0" wp14:anchorId="6729D54B" wp14:editId="4AE88D4A">
            <wp:extent cx="5731510" cy="22332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94" w:rsidRDefault="00343394">
      <w:r>
        <w:rPr>
          <w:noProof/>
          <w:lang w:eastAsia="en-AU"/>
        </w:rPr>
        <w:drawing>
          <wp:inline distT="0" distB="0" distL="0" distR="0" wp14:anchorId="66DA89EF" wp14:editId="68EA7AAD">
            <wp:extent cx="5734050" cy="133149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 4 part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A9" w:rsidRPr="005A4CA9" w:rsidRDefault="005A4CA9" w:rsidP="005A4CA9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5A4CA9">
        <w:rPr>
          <w:rFonts w:ascii="Times New Roman" w:hAnsi="Times New Roman" w:cs="Times New Roman"/>
          <w:sz w:val="24"/>
          <w:szCs w:val="24"/>
        </w:rPr>
        <w:t>Other Standards of particular relevance</w:t>
      </w:r>
      <w:r>
        <w:rPr>
          <w:rFonts w:ascii="Times New Roman" w:hAnsi="Times New Roman" w:cs="Times New Roman"/>
          <w:sz w:val="24"/>
          <w:szCs w:val="24"/>
        </w:rPr>
        <w:t xml:space="preserve"> when considering differentiated, targeted and intensive support options</w:t>
      </w:r>
      <w:r w:rsidRPr="005A4CA9">
        <w:rPr>
          <w:rFonts w:ascii="Times New Roman" w:hAnsi="Times New Roman" w:cs="Times New Roman"/>
          <w:sz w:val="24"/>
          <w:szCs w:val="24"/>
        </w:rPr>
        <w:t xml:space="preserve"> would be those from the Professional Knowledge domain:</w:t>
      </w:r>
    </w:p>
    <w:p w:rsidR="005A4CA9" w:rsidRPr="005A4CA9" w:rsidRDefault="005A4CA9" w:rsidP="005A4CA9">
      <w:pPr>
        <w:pStyle w:val="ListParagraph"/>
        <w:numPr>
          <w:ilvl w:val="0"/>
          <w:numId w:val="7"/>
        </w:num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A4CA9">
          <w:rPr>
            <w:rStyle w:val="Hyperlink"/>
            <w:rFonts w:ascii="Times New Roman" w:hAnsi="Times New Roman" w:cs="Times New Roman"/>
            <w:sz w:val="24"/>
            <w:szCs w:val="24"/>
          </w:rPr>
          <w:t>Know students and how they learn</w:t>
        </w:r>
      </w:hyperlink>
    </w:p>
    <w:p w:rsidR="005A4CA9" w:rsidRPr="005A4CA9" w:rsidRDefault="005A4CA9" w:rsidP="005A4CA9">
      <w:pPr>
        <w:pStyle w:val="ListParagraph"/>
        <w:numPr>
          <w:ilvl w:val="0"/>
          <w:numId w:val="7"/>
        </w:num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A4CA9">
          <w:rPr>
            <w:rStyle w:val="Hyperlink"/>
            <w:rFonts w:ascii="Times New Roman" w:hAnsi="Times New Roman" w:cs="Times New Roman"/>
            <w:sz w:val="24"/>
            <w:szCs w:val="24"/>
          </w:rPr>
          <w:t>Know the content and how to teach it</w:t>
        </w:r>
      </w:hyperlink>
    </w:p>
    <w:p w:rsidR="00056CD9" w:rsidRDefault="00056CD9">
      <w:pPr>
        <w:rPr>
          <w:rFonts w:ascii="Times New Roman" w:hAnsi="Times New Roman" w:cs="Times New Roman"/>
          <w:sz w:val="24"/>
          <w:szCs w:val="24"/>
        </w:rPr>
      </w:pPr>
    </w:p>
    <w:p w:rsidR="00343394" w:rsidRPr="002B1290" w:rsidRDefault="00FC2CC2">
      <w:pPr>
        <w:rPr>
          <w:rFonts w:ascii="Times New Roman" w:hAnsi="Times New Roman" w:cs="Times New Roman"/>
          <w:sz w:val="24"/>
          <w:szCs w:val="24"/>
        </w:rPr>
      </w:pPr>
      <w:r w:rsidRPr="002B1290">
        <w:rPr>
          <w:rFonts w:ascii="Times New Roman" w:hAnsi="Times New Roman" w:cs="Times New Roman"/>
          <w:sz w:val="24"/>
          <w:szCs w:val="24"/>
        </w:rPr>
        <w:t>The Queensland Studies Authority (2010) identifies a supportive and inclusive learning environment as one that:</w:t>
      </w:r>
    </w:p>
    <w:p w:rsidR="00FC2CC2" w:rsidRPr="002B1290" w:rsidRDefault="00FC2CC2" w:rsidP="00FC2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290">
        <w:rPr>
          <w:rFonts w:ascii="Times New Roman" w:hAnsi="Times New Roman" w:cs="Times New Roman"/>
          <w:sz w:val="24"/>
          <w:szCs w:val="24"/>
        </w:rPr>
        <w:t>Values diversity of ability, opinion and experience</w:t>
      </w:r>
    </w:p>
    <w:p w:rsidR="00FC2CC2" w:rsidRPr="002B1290" w:rsidRDefault="00FC2CC2" w:rsidP="00FC2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290">
        <w:rPr>
          <w:rFonts w:ascii="Times New Roman" w:hAnsi="Times New Roman" w:cs="Times New Roman"/>
          <w:sz w:val="24"/>
          <w:szCs w:val="24"/>
        </w:rPr>
        <w:t xml:space="preserve">Values diversity of language and cultural beliefs </w:t>
      </w:r>
    </w:p>
    <w:p w:rsidR="00FC2CC2" w:rsidRPr="002B1290" w:rsidRDefault="00FC2CC2" w:rsidP="00FC2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290">
        <w:rPr>
          <w:rFonts w:ascii="Times New Roman" w:hAnsi="Times New Roman" w:cs="Times New Roman"/>
          <w:sz w:val="24"/>
          <w:szCs w:val="24"/>
        </w:rPr>
        <w:t>Is supportive of everyone’s efforts</w:t>
      </w:r>
    </w:p>
    <w:p w:rsidR="00FC2CC2" w:rsidRDefault="00FC2CC2" w:rsidP="00FC2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290">
        <w:rPr>
          <w:rFonts w:ascii="Times New Roman" w:hAnsi="Times New Roman" w:cs="Times New Roman"/>
          <w:sz w:val="24"/>
          <w:szCs w:val="24"/>
        </w:rPr>
        <w:t>Empowers everyone to communicate freely</w:t>
      </w:r>
    </w:p>
    <w:p w:rsidR="00056CD9" w:rsidRPr="002B1290" w:rsidRDefault="00056CD9" w:rsidP="00FC2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3"/>
        <w:gridCol w:w="4621"/>
      </w:tblGrid>
      <w:tr w:rsidR="00FC2CC2" w:rsidRPr="002B1290" w:rsidTr="00004CE4">
        <w:tc>
          <w:tcPr>
            <w:tcW w:w="9242" w:type="dxa"/>
            <w:gridSpan w:val="3"/>
            <w:shd w:val="clear" w:color="auto" w:fill="D9D9D9" w:themeFill="background1" w:themeFillShade="D9"/>
          </w:tcPr>
          <w:p w:rsidR="00FC2CC2" w:rsidRPr="002B1290" w:rsidRDefault="00FC2CC2" w:rsidP="00FC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Strategies and adjustments to engage and support all students</w:t>
            </w:r>
          </w:p>
        </w:tc>
      </w:tr>
      <w:tr w:rsidR="00FC2CC2" w:rsidRPr="002B1290" w:rsidTr="00004CE4">
        <w:tc>
          <w:tcPr>
            <w:tcW w:w="9242" w:type="dxa"/>
            <w:gridSpan w:val="3"/>
            <w:shd w:val="clear" w:color="auto" w:fill="F2F2F2" w:themeFill="background1" w:themeFillShade="F2"/>
          </w:tcPr>
          <w:p w:rsidR="00FC2CC2" w:rsidRPr="002B1290" w:rsidRDefault="00FC2CC2" w:rsidP="00FC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Adjustments in environment</w:t>
            </w:r>
          </w:p>
        </w:tc>
      </w:tr>
      <w:tr w:rsidR="00FC2CC2" w:rsidRPr="002B1290" w:rsidTr="005B0C20">
        <w:tc>
          <w:tcPr>
            <w:tcW w:w="4608" w:type="dxa"/>
          </w:tcPr>
          <w:p w:rsidR="00FC2CC2" w:rsidRPr="002B1290" w:rsidRDefault="00BD01FB" w:rsidP="00BD01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Seat students with specific needs in optimal location for learning (e.g. student with hearing loss close to teacher and away from ambient noise)</w:t>
            </w:r>
          </w:p>
          <w:p w:rsidR="00BD01FB" w:rsidRPr="002B1290" w:rsidRDefault="00BD01FB" w:rsidP="00BD01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Provide quiet working space for independent activities</w:t>
            </w:r>
          </w:p>
        </w:tc>
        <w:tc>
          <w:tcPr>
            <w:tcW w:w="4634" w:type="dxa"/>
            <w:gridSpan w:val="2"/>
          </w:tcPr>
          <w:p w:rsidR="00BD01FB" w:rsidRPr="002B1290" w:rsidRDefault="00BD01FB" w:rsidP="00BD01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Monitor playground situation and support student to choose activities that assist them to interact  with others in a safe and engaging way</w:t>
            </w:r>
          </w:p>
          <w:p w:rsidR="00FC2CC2" w:rsidRPr="002B1290" w:rsidRDefault="00BD01FB" w:rsidP="00BD01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Provide specialised work area where students can engage with concrete materials</w:t>
            </w:r>
          </w:p>
        </w:tc>
      </w:tr>
      <w:tr w:rsidR="005B0C20" w:rsidRPr="002B1290" w:rsidTr="00004CE4">
        <w:tc>
          <w:tcPr>
            <w:tcW w:w="9242" w:type="dxa"/>
            <w:gridSpan w:val="3"/>
            <w:shd w:val="clear" w:color="auto" w:fill="F2F2F2" w:themeFill="background1" w:themeFillShade="F2"/>
          </w:tcPr>
          <w:p w:rsidR="005B0C20" w:rsidRPr="002B1290" w:rsidRDefault="005B0C20" w:rsidP="00FC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Adjustments in planning</w:t>
            </w:r>
          </w:p>
        </w:tc>
      </w:tr>
      <w:tr w:rsidR="005B0C20" w:rsidRPr="002B1290" w:rsidTr="00214C97">
        <w:tc>
          <w:tcPr>
            <w:tcW w:w="4621" w:type="dxa"/>
            <w:gridSpan w:val="2"/>
          </w:tcPr>
          <w:p w:rsidR="005B0C20" w:rsidRPr="002B1290" w:rsidRDefault="005B0C20" w:rsidP="005B0C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Plan with other specialists such as speech pathologists, guidance officers, special education teachers to incorporate targeted individual goals</w:t>
            </w:r>
          </w:p>
          <w:p w:rsidR="00F37C60" w:rsidRPr="002B1290" w:rsidRDefault="00F37C60" w:rsidP="005B0C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Plan to explicitly teach curriculum content</w:t>
            </w:r>
          </w:p>
        </w:tc>
        <w:tc>
          <w:tcPr>
            <w:tcW w:w="4621" w:type="dxa"/>
          </w:tcPr>
          <w:p w:rsidR="005B0C20" w:rsidRPr="002B1290" w:rsidRDefault="005B0C20" w:rsidP="00F37C6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Plan for </w:t>
            </w:r>
            <w:hyperlink r:id="rId14" w:history="1">
              <w:r w:rsidRPr="002B12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personalised learning and support.</w:t>
              </w:r>
            </w:hyperlink>
            <w:r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 Consider an Individual Support Plan for those students requiring differentiated curriculum to support </w:t>
            </w:r>
            <w:r w:rsidR="00F37C60" w:rsidRPr="002B1290">
              <w:rPr>
                <w:rFonts w:ascii="Times New Roman" w:hAnsi="Times New Roman" w:cs="Times New Roman"/>
                <w:sz w:val="24"/>
                <w:szCs w:val="24"/>
              </w:rPr>
              <w:t>access, participation and achievement</w:t>
            </w:r>
          </w:p>
          <w:p w:rsidR="00F37C60" w:rsidRPr="002B1290" w:rsidRDefault="00F37C60" w:rsidP="00F37C6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Plan access to rewarding activities</w:t>
            </w:r>
          </w:p>
        </w:tc>
      </w:tr>
      <w:tr w:rsidR="005B0C20" w:rsidRPr="002B1290" w:rsidTr="00004CE4">
        <w:tc>
          <w:tcPr>
            <w:tcW w:w="9242" w:type="dxa"/>
            <w:gridSpan w:val="3"/>
            <w:shd w:val="clear" w:color="auto" w:fill="F2F2F2" w:themeFill="background1" w:themeFillShade="F2"/>
          </w:tcPr>
          <w:p w:rsidR="005B0C20" w:rsidRPr="002B1290" w:rsidRDefault="005B0C20" w:rsidP="00FC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Adjustments  in teaching</w:t>
            </w:r>
          </w:p>
        </w:tc>
      </w:tr>
      <w:tr w:rsidR="00FC2CC2" w:rsidRPr="002B1290" w:rsidTr="005B0C20">
        <w:tc>
          <w:tcPr>
            <w:tcW w:w="4608" w:type="dxa"/>
          </w:tcPr>
          <w:p w:rsidR="00F37C60" w:rsidRPr="002B1290" w:rsidRDefault="00FE0DA7" w:rsidP="00F37C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Provide a continuum of support to r</w:t>
            </w:r>
            <w:r w:rsidR="00F37C60"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espond to </w:t>
            </w: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37C60" w:rsidRPr="002B1290">
              <w:rPr>
                <w:rFonts w:ascii="Times New Roman" w:hAnsi="Times New Roman" w:cs="Times New Roman"/>
                <w:sz w:val="24"/>
                <w:szCs w:val="24"/>
              </w:rPr>
              <w:t>learning need</w:t>
            </w: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s of all students by working</w:t>
            </w:r>
            <w:r w:rsidR="00F37C60"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 within a </w:t>
            </w:r>
            <w:hyperlink r:id="rId15" w:history="1">
              <w:r w:rsidR="00F37C60" w:rsidRPr="002B12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Whole-school approach to supporting student learning</w:t>
              </w:r>
            </w:hyperlink>
            <w:r w:rsidR="00F37C60"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CE4" w:rsidRPr="002B1290">
              <w:rPr>
                <w:rFonts w:ascii="Times New Roman" w:hAnsi="Times New Roman" w:cs="Times New Roman"/>
                <w:sz w:val="24"/>
                <w:szCs w:val="24"/>
              </w:rPr>
              <w:t>(Department of Education and Training, 2013)</w:t>
            </w:r>
          </w:p>
          <w:p w:rsidR="00004CE4" w:rsidRPr="002B1290" w:rsidRDefault="00004CE4" w:rsidP="00F37C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B1290">
              <w:rPr>
                <w:rFonts w:ascii="Times New Roman" w:hAnsi="Times New Roman" w:cs="Times New Roman"/>
                <w:i/>
                <w:sz w:val="24"/>
                <w:szCs w:val="24"/>
              </w:rPr>
              <w:t>Whole-school approach to supporting student learning</w:t>
            </w:r>
          </w:p>
          <w:bookmarkStart w:id="0" w:name="_MON_1525340179"/>
          <w:bookmarkEnd w:id="0"/>
          <w:p w:rsidR="00004CE4" w:rsidRPr="002B1290" w:rsidRDefault="00004CE4" w:rsidP="00004CE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6" o:title=""/>
                </v:shape>
                <o:OLEObject Type="Embed" ProgID="Word.Document.8" ShapeID="_x0000_i1025" DrawAspect="Icon" ObjectID="_1526020291" r:id="rId17">
                  <o:FieldCodes>\s</o:FieldCodes>
                </o:OLEObject>
              </w:object>
            </w:r>
          </w:p>
          <w:p w:rsidR="00FC2CC2" w:rsidRPr="002B1290" w:rsidRDefault="00FC2CC2" w:rsidP="00FE0DA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</w:tcPr>
          <w:p w:rsidR="00FE0DA7" w:rsidRPr="002B1290" w:rsidRDefault="00FE0DA7" w:rsidP="00FE0D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Increase opportunities to practise new skills and concepts</w:t>
            </w:r>
          </w:p>
          <w:p w:rsidR="00FE0DA7" w:rsidRPr="002B1290" w:rsidRDefault="00FE0DA7" w:rsidP="00FE0D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Provide additional modelling, concrete examples, visual </w:t>
            </w:r>
            <w:r w:rsidR="006842E8"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and pictorial </w:t>
            </w: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supports </w:t>
            </w:r>
            <w:r w:rsidR="006842E8" w:rsidRPr="002B1290">
              <w:rPr>
                <w:rFonts w:ascii="Times New Roman" w:hAnsi="Times New Roman" w:cs="Times New Roman"/>
                <w:sz w:val="24"/>
                <w:szCs w:val="24"/>
              </w:rPr>
              <w:t>such as graphic organisers</w:t>
            </w: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42E8"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link to prior knowledge, </w:t>
            </w: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human resources (peer tutoring, teacher aides)</w:t>
            </w:r>
            <w:r w:rsidR="002B1290">
              <w:rPr>
                <w:rFonts w:ascii="Times New Roman" w:hAnsi="Times New Roman" w:cs="Times New Roman"/>
                <w:sz w:val="24"/>
                <w:szCs w:val="24"/>
              </w:rPr>
              <w:t>, cycle of practice and feedback at all stages</w:t>
            </w:r>
          </w:p>
          <w:p w:rsidR="00FC2CC2" w:rsidRPr="002B1290" w:rsidRDefault="00FE0DA7" w:rsidP="00FE0D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Consult with specialist staff to integrate low tech and high tech communication supports where required. </w:t>
            </w:r>
            <w:r w:rsidR="00004CE4" w:rsidRPr="002B1290">
              <w:rPr>
                <w:rFonts w:ascii="Times New Roman" w:hAnsi="Times New Roman" w:cs="Times New Roman"/>
                <w:sz w:val="24"/>
                <w:szCs w:val="24"/>
              </w:rPr>
              <w:t>(For further information, s</w:t>
            </w: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="00004CE4"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 sites and documents such as</w:t>
            </w: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hyperlink r:id="rId18" w:history="1">
              <w:r w:rsidRPr="002B12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Visual Supports Guide</w:t>
              </w:r>
            </w:hyperlink>
            <w:r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 from the Downs Syndrome Association of Queensland for </w:t>
            </w:r>
            <w:r w:rsidR="006842E8"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descriptions of a range of low tech communication support options and </w:t>
            </w:r>
            <w:hyperlink r:id="rId19" w:history="1">
              <w:proofErr w:type="spellStart"/>
              <w:r w:rsidR="006842E8" w:rsidRPr="002B12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Spectronics</w:t>
              </w:r>
              <w:proofErr w:type="spellEnd"/>
              <w:r w:rsidR="006842E8" w:rsidRPr="002B12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 Inclusive Learning Technologies</w:t>
              </w:r>
            </w:hyperlink>
            <w:r w:rsidR="006842E8"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 for reviews and descriptions of communication devices and </w:t>
            </w:r>
            <w:hyperlink r:id="rId20" w:history="1">
              <w:r w:rsidR="006842E8" w:rsidRPr="002B12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apps</w:t>
              </w:r>
            </w:hyperlink>
          </w:p>
          <w:p w:rsidR="00FE0DA7" w:rsidRPr="002B1290" w:rsidRDefault="00FE0DA7" w:rsidP="00FE0D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 xml:space="preserve">Reduce the amount and complexity of </w:t>
            </w:r>
            <w:r w:rsidR="006842E8" w:rsidRPr="002B1290">
              <w:rPr>
                <w:rFonts w:ascii="Times New Roman" w:hAnsi="Times New Roman" w:cs="Times New Roman"/>
                <w:sz w:val="24"/>
                <w:szCs w:val="24"/>
              </w:rPr>
              <w:t>materials and texts</w:t>
            </w:r>
          </w:p>
          <w:p w:rsidR="006842E8" w:rsidRDefault="006842E8" w:rsidP="00FE0D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Break tasks into smaller achievable tasks</w:t>
            </w:r>
          </w:p>
          <w:p w:rsidR="00056CD9" w:rsidRPr="002B1290" w:rsidRDefault="00056CD9" w:rsidP="00FE0D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Incorporate software options to support literacy such as </w:t>
            </w:r>
            <w:hyperlink r:id="rId21" w:history="1">
              <w:proofErr w:type="spellStart"/>
              <w:r w:rsidRPr="00056CD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Read&amp;Write</w:t>
              </w:r>
              <w:proofErr w:type="spellEnd"/>
              <w:r w:rsidRPr="00056CD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Gold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turning on the </w:t>
            </w:r>
            <w:r w:rsidRPr="00056CD9">
              <w:rPr>
                <w:rFonts w:ascii="Times New Roman" w:hAnsi="Times New Roman" w:cs="Times New Roman"/>
                <w:i/>
                <w:sz w:val="24"/>
                <w:szCs w:val="24"/>
              </w:rPr>
              <w:t>Text to Speech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0">
              <w:rPr>
                <w:rFonts w:ascii="Times New Roman" w:hAnsi="Times New Roman" w:cs="Times New Roman"/>
                <w:sz w:val="24"/>
                <w:szCs w:val="24"/>
              </w:rPr>
              <w:t>features in Accessibility options (e.g. Narrator for</w:t>
            </w:r>
            <w:bookmarkStart w:id="1" w:name="_GoBack"/>
            <w:bookmarkEnd w:id="1"/>
            <w:r w:rsidR="00D90290">
              <w:rPr>
                <w:rFonts w:ascii="Times New Roman" w:hAnsi="Times New Roman" w:cs="Times New Roman"/>
                <w:sz w:val="24"/>
                <w:szCs w:val="24"/>
              </w:rPr>
              <w:t xml:space="preserve"> the computer or Speech on iPad)</w:t>
            </w:r>
          </w:p>
        </w:tc>
      </w:tr>
      <w:tr w:rsidR="006842E8" w:rsidRPr="002B1290" w:rsidTr="00004CE4">
        <w:tc>
          <w:tcPr>
            <w:tcW w:w="9242" w:type="dxa"/>
            <w:gridSpan w:val="3"/>
            <w:shd w:val="clear" w:color="auto" w:fill="F2F2F2" w:themeFill="background1" w:themeFillShade="F2"/>
          </w:tcPr>
          <w:p w:rsidR="006842E8" w:rsidRPr="002B1290" w:rsidRDefault="006842E8" w:rsidP="00FC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Adjustments in assessment</w:t>
            </w:r>
          </w:p>
        </w:tc>
      </w:tr>
      <w:tr w:rsidR="005B0C20" w:rsidRPr="002B1290" w:rsidTr="005B0C20">
        <w:tc>
          <w:tcPr>
            <w:tcW w:w="4608" w:type="dxa"/>
          </w:tcPr>
          <w:p w:rsidR="005B0C20" w:rsidRDefault="002B1290" w:rsidP="002B12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technology to record student work</w:t>
            </w:r>
          </w:p>
          <w:p w:rsidR="002B1290" w:rsidRDefault="002B1290" w:rsidP="002B12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Collect annotated work samples</w:t>
            </w:r>
          </w:p>
          <w:p w:rsidR="002B1290" w:rsidRDefault="002B1290" w:rsidP="002B12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Clearly articulate goals at the commencement of the unit of work</w:t>
            </w:r>
          </w:p>
          <w:p w:rsidR="002B1290" w:rsidRPr="002B1290" w:rsidRDefault="002B1290" w:rsidP="002B12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against appropriate criteria. For example, may be against a different year level if student on Individual Support Plan</w:t>
            </w:r>
          </w:p>
        </w:tc>
        <w:tc>
          <w:tcPr>
            <w:tcW w:w="4634" w:type="dxa"/>
            <w:gridSpan w:val="2"/>
          </w:tcPr>
          <w:p w:rsidR="005B0C20" w:rsidRDefault="002B1290" w:rsidP="002B12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One-to-one conferencing</w:t>
            </w:r>
          </w:p>
          <w:p w:rsidR="002B1290" w:rsidRPr="002B1290" w:rsidRDefault="002B1290" w:rsidP="002B12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Find alternative ways of demonstrating competency e.g. use of augmentative or alternative communication system for students with spoken communication disorders</w:t>
            </w:r>
          </w:p>
        </w:tc>
      </w:tr>
      <w:tr w:rsidR="002B1290" w:rsidRPr="002B1290" w:rsidTr="002B1290">
        <w:tc>
          <w:tcPr>
            <w:tcW w:w="9242" w:type="dxa"/>
            <w:gridSpan w:val="3"/>
            <w:shd w:val="clear" w:color="auto" w:fill="F2F2F2" w:themeFill="background1" w:themeFillShade="F2"/>
          </w:tcPr>
          <w:p w:rsidR="002B1290" w:rsidRPr="002B1290" w:rsidRDefault="002B1290" w:rsidP="002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Supporting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classroom engagement and participation</w:t>
            </w:r>
          </w:p>
        </w:tc>
      </w:tr>
      <w:tr w:rsidR="00FC2CC2" w:rsidRPr="002B1290" w:rsidTr="005B0C20">
        <w:tc>
          <w:tcPr>
            <w:tcW w:w="4608" w:type="dxa"/>
          </w:tcPr>
          <w:p w:rsidR="00FC2CC2" w:rsidRPr="00664E56" w:rsidRDefault="00664E56" w:rsidP="00664E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4E56">
              <w:rPr>
                <w:rFonts w:ascii="Times New Roman" w:hAnsi="Times New Roman" w:cs="Times New Roman"/>
                <w:sz w:val="24"/>
                <w:szCs w:val="24"/>
              </w:rPr>
              <w:t>Align teaching practice</w:t>
            </w:r>
            <w:r w:rsidR="00376F76">
              <w:rPr>
                <w:rFonts w:ascii="Times New Roman" w:hAnsi="Times New Roman" w:cs="Times New Roman"/>
                <w:sz w:val="24"/>
                <w:szCs w:val="24"/>
              </w:rPr>
              <w:t xml:space="preserve"> and behaviour expectations</w:t>
            </w:r>
            <w:r w:rsidRPr="00664E56">
              <w:rPr>
                <w:rFonts w:ascii="Times New Roman" w:hAnsi="Times New Roman" w:cs="Times New Roman"/>
                <w:sz w:val="24"/>
                <w:szCs w:val="24"/>
              </w:rPr>
              <w:t xml:space="preserve"> with the identified </w:t>
            </w:r>
            <w:hyperlink r:id="rId22" w:history="1">
              <w:r w:rsidRPr="00664E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school-wide approach to creating a safe, supportive and disciplined school</w:t>
              </w:r>
            </w:hyperlink>
            <w:r w:rsidRPr="0066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76">
              <w:rPr>
                <w:rFonts w:ascii="Times New Roman" w:hAnsi="Times New Roman" w:cs="Times New Roman"/>
                <w:sz w:val="24"/>
                <w:szCs w:val="24"/>
              </w:rPr>
              <w:t>for your school</w:t>
            </w:r>
          </w:p>
          <w:p w:rsidR="00664E56" w:rsidRPr="000166D4" w:rsidRDefault="00A224B6" w:rsidP="000166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6D4">
              <w:rPr>
                <w:rFonts w:ascii="Times New Roman" w:hAnsi="Times New Roman" w:cs="Times New Roman"/>
                <w:sz w:val="24"/>
                <w:szCs w:val="24"/>
              </w:rPr>
              <w:t xml:space="preserve">Consider developing </w:t>
            </w:r>
            <w:r w:rsidR="000166D4" w:rsidRPr="000166D4">
              <w:rPr>
                <w:rFonts w:ascii="Times New Roman" w:hAnsi="Times New Roman" w:cs="Times New Roman"/>
                <w:sz w:val="24"/>
                <w:szCs w:val="24"/>
              </w:rPr>
              <w:t xml:space="preserve">explicit </w:t>
            </w:r>
            <w:r w:rsidRPr="000166D4">
              <w:rPr>
                <w:rFonts w:ascii="Times New Roman" w:hAnsi="Times New Roman" w:cs="Times New Roman"/>
                <w:sz w:val="24"/>
                <w:szCs w:val="24"/>
              </w:rPr>
              <w:t xml:space="preserve">skills in behaviour management </w:t>
            </w:r>
            <w:r w:rsidR="000166D4" w:rsidRPr="000166D4">
              <w:rPr>
                <w:rFonts w:ascii="Times New Roman" w:hAnsi="Times New Roman" w:cs="Times New Roman"/>
                <w:sz w:val="24"/>
                <w:szCs w:val="24"/>
              </w:rPr>
              <w:t xml:space="preserve">e.g. </w:t>
            </w:r>
            <w:hyperlink r:id="rId23" w:anchor="skills" w:history="1">
              <w:r w:rsidRPr="000166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Essential Skills for Classroom Management</w:t>
              </w:r>
            </w:hyperlink>
          </w:p>
        </w:tc>
        <w:tc>
          <w:tcPr>
            <w:tcW w:w="4634" w:type="dxa"/>
            <w:gridSpan w:val="2"/>
          </w:tcPr>
          <w:p w:rsidR="00FC2CC2" w:rsidRPr="00A224B6" w:rsidRDefault="00A224B6" w:rsidP="00A224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4B6">
              <w:rPr>
                <w:rFonts w:ascii="Times New Roman" w:hAnsi="Times New Roman" w:cs="Times New Roman"/>
                <w:sz w:val="24"/>
                <w:szCs w:val="24"/>
              </w:rPr>
              <w:t>Reflect on management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(e.g. journal, mentor discussion)</w:t>
            </w:r>
          </w:p>
          <w:p w:rsidR="00A224B6" w:rsidRDefault="00A224B6" w:rsidP="00376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aware of impact of your own words and actions</w:t>
            </w:r>
          </w:p>
          <w:p w:rsidR="00A224B6" w:rsidRDefault="00A224B6" w:rsidP="00376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 your understanding of behaviour</w:t>
            </w:r>
          </w:p>
          <w:p w:rsidR="00A224B6" w:rsidRDefault="00A224B6" w:rsidP="00376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checklist for identifying behaviours and triggers</w:t>
            </w:r>
          </w:p>
          <w:p w:rsidR="00A224B6" w:rsidRDefault="00A224B6" w:rsidP="00376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Affirm appropriate behaviour and assertively correct inappropriate behaviour</w:t>
            </w:r>
          </w:p>
          <w:p w:rsidR="00A224B6" w:rsidRDefault="00A224B6" w:rsidP="00376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portfolio of behaviour management strategies and resources</w:t>
            </w:r>
          </w:p>
          <w:p w:rsidR="00A224B6" w:rsidRPr="00A224B6" w:rsidRDefault="00A224B6" w:rsidP="00A2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(Churchill et al, 2013, p. 398 – 405)</w:t>
            </w:r>
          </w:p>
        </w:tc>
      </w:tr>
    </w:tbl>
    <w:p w:rsidR="00FC2CC2" w:rsidRPr="00253A75" w:rsidRDefault="002B1290" w:rsidP="00FC2CC2">
      <w:pPr>
        <w:rPr>
          <w:rFonts w:ascii="Times New Roman" w:hAnsi="Times New Roman" w:cs="Times New Roman"/>
          <w:b/>
          <w:sz w:val="24"/>
          <w:szCs w:val="24"/>
        </w:rPr>
      </w:pPr>
      <w:r w:rsidRPr="00253A75">
        <w:rPr>
          <w:rFonts w:ascii="Times New Roman" w:hAnsi="Times New Roman" w:cs="Times New Roman"/>
          <w:b/>
          <w:sz w:val="24"/>
          <w:szCs w:val="24"/>
        </w:rPr>
        <w:t>Websites:</w:t>
      </w:r>
    </w:p>
    <w:p w:rsidR="00A224B6" w:rsidRDefault="00A224B6" w:rsidP="00A224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Australian Government (Department of Education and Training).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030609">
        <w:rPr>
          <w:rFonts w:ascii="Times New Roman" w:hAnsi="Times New Roman" w:cs="Times New Roman"/>
          <w:i/>
          <w:sz w:val="24"/>
          <w:szCs w:val="24"/>
        </w:rPr>
        <w:t>Planning</w:t>
      </w:r>
      <w:proofErr w:type="gramEnd"/>
      <w:r w:rsidRPr="00030609">
        <w:rPr>
          <w:rFonts w:ascii="Times New Roman" w:hAnsi="Times New Roman" w:cs="Times New Roman"/>
          <w:i/>
          <w:sz w:val="24"/>
          <w:szCs w:val="24"/>
        </w:rPr>
        <w:t xml:space="preserve"> for Personalised Learning and Support: A National Resource. </w:t>
      </w:r>
      <w:hyperlink r:id="rId24" w:history="1">
        <w:r w:rsidRPr="00A6334C">
          <w:rPr>
            <w:rStyle w:val="Hyperlink"/>
            <w:rFonts w:ascii="Times New Roman" w:hAnsi="Times New Roman" w:cs="Times New Roman"/>
            <w:sz w:val="24"/>
            <w:szCs w:val="24"/>
          </w:rPr>
          <w:t>https://docs.education.gov.au/system/files/doc/other/planningforpersonalisedlearningandsupportnationalresource.pdf</w:t>
        </w:r>
      </w:hyperlink>
    </w:p>
    <w:p w:rsidR="00253A75" w:rsidRDefault="00253A75" w:rsidP="00FC2C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Australian Institute for Teaching and School Leadership (AITSL).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(2014). </w:t>
      </w:r>
      <w:hyperlink r:id="rId25" w:history="1">
        <w:r w:rsidRPr="002375E0">
          <w:rPr>
            <w:rStyle w:val="Hyperlink"/>
            <w:rFonts w:ascii="Times New Roman" w:hAnsi="Times New Roman" w:cs="Times New Roman"/>
            <w:sz w:val="24"/>
            <w:szCs w:val="24"/>
          </w:rPr>
          <w:t>http://www.aitsl.edu.au/australian-professional-standards-for-teachers/standards/list</w:t>
        </w:r>
      </w:hyperlink>
    </w:p>
    <w:p w:rsidR="002B1290" w:rsidRDefault="002B1290" w:rsidP="00FC2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Downs Syndrome Association of Queensland </w:t>
      </w:r>
      <w:hyperlink r:id="rId26" w:history="1">
        <w:r w:rsidR="00030609" w:rsidRPr="00A6334C">
          <w:rPr>
            <w:rStyle w:val="Hyperlink"/>
            <w:rFonts w:ascii="Times New Roman" w:hAnsi="Times New Roman" w:cs="Times New Roman"/>
            <w:sz w:val="24"/>
            <w:szCs w:val="24"/>
          </w:rPr>
          <w:t>http://www.dsaq.org.au/info-and-support-pages/communication</w:t>
        </w:r>
      </w:hyperlink>
    </w:p>
    <w:p w:rsidR="00030609" w:rsidRDefault="00030609" w:rsidP="00FC2C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Spectronics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Inclusive Learning Technologies </w:t>
      </w:r>
      <w:hyperlink r:id="rId27" w:history="1">
        <w:r w:rsidRPr="00A6334C">
          <w:rPr>
            <w:rStyle w:val="Hyperlink"/>
            <w:rFonts w:ascii="Times New Roman" w:hAnsi="Times New Roman" w:cs="Times New Roman"/>
            <w:sz w:val="24"/>
            <w:szCs w:val="24"/>
          </w:rPr>
          <w:t>https://www.spectronics.com.au/</w:t>
        </w:r>
      </w:hyperlink>
    </w:p>
    <w:p w:rsidR="00A224B6" w:rsidRPr="00664E56" w:rsidRDefault="00A224B6" w:rsidP="00A224B6">
      <w:pPr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 of Queensland (Department of Education and Training).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(2016). </w:t>
      </w:r>
      <w:r w:rsidRPr="00664E56">
        <w:rPr>
          <w:rFonts w:ascii="Times New Roman" w:hAnsi="Times New Roman" w:cs="Times New Roman"/>
          <w:bCs/>
          <w:i/>
          <w:sz w:val="24"/>
          <w:szCs w:val="24"/>
        </w:rPr>
        <w:t>Behaviour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224B6" w:rsidRPr="00664E56" w:rsidRDefault="00A224B6" w:rsidP="00A224B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64E56">
        <w:rPr>
          <w:rFonts w:ascii="Times New Roman" w:hAnsi="Times New Roman" w:cs="Times New Roman"/>
          <w:bCs/>
          <w:i/>
          <w:sz w:val="24"/>
          <w:szCs w:val="24"/>
        </w:rPr>
        <w:t>A school-wide approach to creating a safe, supportive and disciplined school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(2015)</w:t>
      </w:r>
    </w:p>
    <w:p w:rsidR="00A224B6" w:rsidRDefault="00A224B6" w:rsidP="00A22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A6334C">
          <w:rPr>
            <w:rStyle w:val="Hyperlink"/>
            <w:rFonts w:ascii="Times New Roman" w:hAnsi="Times New Roman" w:cs="Times New Roman"/>
            <w:sz w:val="24"/>
            <w:szCs w:val="24"/>
          </w:rPr>
          <w:t>http://education.qld.gov.au/behaviour/index.html</w:t>
        </w:r>
      </w:hyperlink>
    </w:p>
    <w:p w:rsidR="00030609" w:rsidRDefault="00030609" w:rsidP="00FC2C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 of Queensland (Department of Education and Training).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(2016) </w:t>
      </w:r>
      <w:r w:rsidRPr="00030609">
        <w:rPr>
          <w:rFonts w:ascii="Times New Roman" w:hAnsi="Times New Roman" w:cs="Times New Roman"/>
          <w:i/>
          <w:sz w:val="24"/>
          <w:szCs w:val="24"/>
        </w:rPr>
        <w:t>Classroom Connections: A Whole-school approach to supporting student learning (2013).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A6334C">
          <w:rPr>
            <w:rStyle w:val="Hyperlink"/>
            <w:rFonts w:ascii="Times New Roman" w:hAnsi="Times New Roman" w:cs="Times New Roman"/>
            <w:sz w:val="24"/>
            <w:szCs w:val="24"/>
          </w:rPr>
          <w:t>https://classroomconnections.eq.edu.au/topics/Pages/2013/issue-6/whole-school-approach.aspx</w:t>
        </w:r>
      </w:hyperlink>
    </w:p>
    <w:p w:rsidR="00664E56" w:rsidRDefault="00664E56" w:rsidP="00FC2CC2">
      <w:pPr>
        <w:rPr>
          <w:rFonts w:ascii="Times New Roman" w:hAnsi="Times New Roman" w:cs="Times New Roman"/>
          <w:sz w:val="24"/>
          <w:szCs w:val="24"/>
        </w:rPr>
      </w:pPr>
    </w:p>
    <w:p w:rsidR="00030609" w:rsidRPr="00030609" w:rsidRDefault="00030609" w:rsidP="00FC2CC2">
      <w:pPr>
        <w:rPr>
          <w:rFonts w:ascii="Times New Roman" w:hAnsi="Times New Roman" w:cs="Times New Roman"/>
          <w:sz w:val="24"/>
          <w:szCs w:val="24"/>
        </w:rPr>
      </w:pPr>
    </w:p>
    <w:sectPr w:rsidR="00030609" w:rsidRPr="00030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769"/>
    <w:multiLevelType w:val="hybridMultilevel"/>
    <w:tmpl w:val="C270CEDA"/>
    <w:lvl w:ilvl="0" w:tplc="72606C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1CCC"/>
    <w:multiLevelType w:val="hybridMultilevel"/>
    <w:tmpl w:val="F16E9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497B"/>
    <w:multiLevelType w:val="hybridMultilevel"/>
    <w:tmpl w:val="7D2C5FE4"/>
    <w:lvl w:ilvl="0" w:tplc="2552223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3E1E"/>
    <w:multiLevelType w:val="hybridMultilevel"/>
    <w:tmpl w:val="08482CDE"/>
    <w:lvl w:ilvl="0" w:tplc="72606C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5510ED"/>
    <w:multiLevelType w:val="hybridMultilevel"/>
    <w:tmpl w:val="2D2690A8"/>
    <w:lvl w:ilvl="0" w:tplc="72606C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C41A97"/>
    <w:multiLevelType w:val="hybridMultilevel"/>
    <w:tmpl w:val="304A0CF2"/>
    <w:lvl w:ilvl="0" w:tplc="72606C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8A7EA9"/>
    <w:multiLevelType w:val="hybridMultilevel"/>
    <w:tmpl w:val="EFDA1018"/>
    <w:lvl w:ilvl="0" w:tplc="72606C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EF"/>
    <w:rsid w:val="00004CE4"/>
    <w:rsid w:val="000166D4"/>
    <w:rsid w:val="00030609"/>
    <w:rsid w:val="00056CD9"/>
    <w:rsid w:val="00116427"/>
    <w:rsid w:val="00231B82"/>
    <w:rsid w:val="00253A75"/>
    <w:rsid w:val="002B1290"/>
    <w:rsid w:val="002F4AF2"/>
    <w:rsid w:val="00343394"/>
    <w:rsid w:val="00376F76"/>
    <w:rsid w:val="005A4CA9"/>
    <w:rsid w:val="005B0C20"/>
    <w:rsid w:val="00664E56"/>
    <w:rsid w:val="006842E8"/>
    <w:rsid w:val="006B043E"/>
    <w:rsid w:val="007C449B"/>
    <w:rsid w:val="00A224B6"/>
    <w:rsid w:val="00BB48EF"/>
    <w:rsid w:val="00BD01FB"/>
    <w:rsid w:val="00CB4FC2"/>
    <w:rsid w:val="00D20761"/>
    <w:rsid w:val="00D90290"/>
    <w:rsid w:val="00E34654"/>
    <w:rsid w:val="00F37C60"/>
    <w:rsid w:val="00FC2CC2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CC2"/>
    <w:pPr>
      <w:ind w:left="720"/>
      <w:contextualSpacing/>
    </w:pPr>
  </w:style>
  <w:style w:type="table" w:styleId="TableGrid">
    <w:name w:val="Table Grid"/>
    <w:basedOn w:val="TableNormal"/>
    <w:uiPriority w:val="59"/>
    <w:rsid w:val="00FC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C2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7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CC2"/>
    <w:pPr>
      <w:ind w:left="720"/>
      <w:contextualSpacing/>
    </w:pPr>
  </w:style>
  <w:style w:type="table" w:styleId="TableGrid">
    <w:name w:val="Table Grid"/>
    <w:basedOn w:val="TableNormal"/>
    <w:uiPriority w:val="59"/>
    <w:rsid w:val="00FC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C2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7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02">
          <w:marLeft w:val="180"/>
          <w:marRight w:val="0"/>
          <w:marTop w:val="360"/>
          <w:marBottom w:val="180"/>
          <w:divBdr>
            <w:top w:val="single" w:sz="6" w:space="0" w:color="E4E3E3"/>
            <w:left w:val="single" w:sz="6" w:space="0" w:color="E4E3E3"/>
            <w:bottom w:val="single" w:sz="6" w:space="0" w:color="E4E3E3"/>
            <w:right w:val="single" w:sz="6" w:space="0" w:color="E4E3E3"/>
          </w:divBdr>
        </w:div>
      </w:divsChild>
    </w:div>
    <w:div w:id="675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367">
          <w:marLeft w:val="180"/>
          <w:marRight w:val="0"/>
          <w:marTop w:val="360"/>
          <w:marBottom w:val="180"/>
          <w:divBdr>
            <w:top w:val="single" w:sz="6" w:space="0" w:color="E4E3E3"/>
            <w:left w:val="single" w:sz="6" w:space="0" w:color="E4E3E3"/>
            <w:bottom w:val="single" w:sz="6" w:space="0" w:color="E4E3E3"/>
            <w:right w:val="single" w:sz="6" w:space="0" w:color="E4E3E3"/>
          </w:divBdr>
        </w:div>
      </w:divsChild>
    </w:div>
    <w:div w:id="1002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sl.edu.au/australian-professional-standards-for-teachers/standards/domain-of-teaching/professional-practice" TargetMode="External"/><Relationship Id="rId13" Type="http://schemas.openxmlformats.org/officeDocument/2006/relationships/hyperlink" Target="http://www.aitsl.edu.au/australian-professional-standards-for-teachers/standards/list?s=2" TargetMode="External"/><Relationship Id="rId18" Type="http://schemas.openxmlformats.org/officeDocument/2006/relationships/hyperlink" Target="http://www.dsaq.org.au/PDF%20Files/Information%20and%20Support%20for%20Down%20Syndrome/communication/Visual%20Supports%20WEB.pdf" TargetMode="External"/><Relationship Id="rId26" Type="http://schemas.openxmlformats.org/officeDocument/2006/relationships/hyperlink" Target="http://www.dsaq.org.au/info-and-support-pages/communic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ectronics.com.au/product/texthelp-readwrite-programs/" TargetMode="External"/><Relationship Id="rId7" Type="http://schemas.openxmlformats.org/officeDocument/2006/relationships/hyperlink" Target="http://www.aitsl.edu.au/australian-professional-standards-for-teachers/standards/domain-of-teaching/professional-knowledge" TargetMode="External"/><Relationship Id="rId12" Type="http://schemas.openxmlformats.org/officeDocument/2006/relationships/hyperlink" Target="http://www.aitsl.edu.au/australian-professional-standards-for-teachers/standards/list?&amp;s=1" TargetMode="External"/><Relationship Id="rId17" Type="http://schemas.openxmlformats.org/officeDocument/2006/relationships/oleObject" Target="embeddings/Microsoft_Word_97_-_2003_Document1.doc"/><Relationship Id="rId25" Type="http://schemas.openxmlformats.org/officeDocument/2006/relationships/hyperlink" Target="http://www.aitsl.edu.au/australian-professional-standards-for-teachers/standards/list" TargetMode="Externa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yperlink" Target="http://www.spectronics.com.au/apps-for-special-education" TargetMode="External"/><Relationship Id="rId29" Type="http://schemas.openxmlformats.org/officeDocument/2006/relationships/hyperlink" Target="https://classroomconnections.eq.edu.au/topics/Pages/2013/issue-6/whole-school-approach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itsl.edu.au/australian-professional-standards-for-teachers/standards/list?&amp;s=1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docs.education.gov.au/system/files/doc/other/planningforpersonalisedlearningandsupportnationalresourc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connections.eq.edu.au/topics/Pages/2013/issue-6/whole-school-approach.aspx" TargetMode="External"/><Relationship Id="rId23" Type="http://schemas.openxmlformats.org/officeDocument/2006/relationships/hyperlink" Target="http://behaviour.education.qld.gov.au/positive-behaviour/effective-teaching/Pages/default.aspx" TargetMode="External"/><Relationship Id="rId28" Type="http://schemas.openxmlformats.org/officeDocument/2006/relationships/hyperlink" Target="http://education.qld.gov.au/behaviour/index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spectronics.com.a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itsl.edu.au/australian-professional-standards-for-teachers/standards/domain-of-teaching/professional-engagement" TargetMode="External"/><Relationship Id="rId14" Type="http://schemas.openxmlformats.org/officeDocument/2006/relationships/hyperlink" Target="https://docs.education.gov.au/system/files/doc/other/planningforpersonalisedlearningandsupportnationalresource.pdf" TargetMode="External"/><Relationship Id="rId22" Type="http://schemas.openxmlformats.org/officeDocument/2006/relationships/hyperlink" Target="http://education.qld.gov.au/behaviour/index.html" TargetMode="External"/><Relationship Id="rId27" Type="http://schemas.openxmlformats.org/officeDocument/2006/relationships/hyperlink" Target="https://www.spectronics.com.a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Jane</dc:creator>
  <cp:lastModifiedBy>Lauren Jane</cp:lastModifiedBy>
  <cp:revision>7</cp:revision>
  <dcterms:created xsi:type="dcterms:W3CDTF">2016-05-21T01:09:00Z</dcterms:created>
  <dcterms:modified xsi:type="dcterms:W3CDTF">2016-05-28T23:45:00Z</dcterms:modified>
</cp:coreProperties>
</file>